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8E7" w:rsidRPr="00450B31" w:rsidRDefault="00A318E7" w:rsidP="00A318E7">
      <w:pPr>
        <w:spacing w:after="0" w:line="240" w:lineRule="auto"/>
        <w:jc w:val="center"/>
        <w:rPr>
          <w:rFonts w:ascii="Times New Roman" w:eastAsia="Times New Roman" w:hAnsi="Times New Roman"/>
          <w:b/>
          <w:sz w:val="24"/>
          <w:szCs w:val="24"/>
          <w:lang w:eastAsia="pt-BR"/>
        </w:rPr>
      </w:pPr>
      <w:r w:rsidRPr="00450B31">
        <w:rPr>
          <w:rFonts w:ascii="Times New Roman" w:eastAsia="Times New Roman" w:hAnsi="Times New Roman"/>
          <w:b/>
          <w:sz w:val="24"/>
          <w:szCs w:val="24"/>
          <w:lang w:eastAsia="pt-BR"/>
        </w:rPr>
        <w:t>Relação de Documentos Necessários</w:t>
      </w:r>
    </w:p>
    <w:p w:rsidR="00A318E7" w:rsidRPr="00450B31" w:rsidRDefault="00A318E7" w:rsidP="00A318E7">
      <w:pPr>
        <w:spacing w:after="0" w:line="240" w:lineRule="auto"/>
        <w:jc w:val="center"/>
        <w:rPr>
          <w:rFonts w:ascii="Times New Roman" w:eastAsia="Times New Roman" w:hAnsi="Times New Roman"/>
          <w:b/>
          <w:sz w:val="24"/>
          <w:szCs w:val="24"/>
          <w:lang w:eastAsia="pt-BR"/>
        </w:rPr>
      </w:pPr>
      <w:r w:rsidRPr="00450B31">
        <w:rPr>
          <w:rFonts w:ascii="Times New Roman" w:eastAsia="Times New Roman" w:hAnsi="Times New Roman"/>
          <w:b/>
          <w:sz w:val="24"/>
          <w:szCs w:val="24"/>
          <w:lang w:eastAsia="pt-BR"/>
        </w:rPr>
        <w:t>Para Registro Cadastral</w:t>
      </w:r>
      <w:r w:rsidR="00450B31">
        <w:rPr>
          <w:rFonts w:ascii="Times New Roman" w:eastAsia="Times New Roman" w:hAnsi="Times New Roman"/>
          <w:b/>
          <w:sz w:val="24"/>
          <w:szCs w:val="24"/>
          <w:lang w:eastAsia="pt-BR"/>
        </w:rPr>
        <w:t xml:space="preserve"> (CRC)</w:t>
      </w:r>
      <w:bookmarkStart w:id="0" w:name="_GoBack"/>
      <w:bookmarkEnd w:id="0"/>
    </w:p>
    <w:p w:rsidR="00A318E7" w:rsidRPr="00450B31" w:rsidRDefault="00A318E7" w:rsidP="00A318E7">
      <w:pPr>
        <w:spacing w:after="0" w:line="240" w:lineRule="auto"/>
        <w:jc w:val="both"/>
        <w:rPr>
          <w:rFonts w:ascii="Times New Roman" w:eastAsia="Times New Roman" w:hAnsi="Times New Roman"/>
          <w:sz w:val="24"/>
          <w:szCs w:val="24"/>
          <w:lang w:eastAsia="pt-BR"/>
        </w:rPr>
      </w:pPr>
    </w:p>
    <w:p w:rsidR="00A318E7" w:rsidRPr="00450B31" w:rsidRDefault="00A318E7" w:rsidP="00A318E7">
      <w:pPr>
        <w:spacing w:after="0" w:line="240" w:lineRule="auto"/>
        <w:rPr>
          <w:rFonts w:ascii="Times New Roman" w:eastAsia="Times New Roman" w:hAnsi="Times New Roman"/>
          <w:b/>
          <w:sz w:val="24"/>
          <w:szCs w:val="24"/>
          <w:u w:val="single"/>
          <w:lang w:eastAsia="pt-BR"/>
        </w:rPr>
      </w:pPr>
      <w:r w:rsidRPr="00450B31">
        <w:rPr>
          <w:rFonts w:ascii="Times New Roman" w:eastAsia="Times New Roman" w:hAnsi="Times New Roman"/>
          <w:b/>
          <w:sz w:val="24"/>
          <w:szCs w:val="24"/>
          <w:u w:val="single"/>
          <w:lang w:eastAsia="pt-BR"/>
        </w:rPr>
        <w:t>I. Habilitação Jurídica:</w:t>
      </w:r>
    </w:p>
    <w:p w:rsidR="00A318E7" w:rsidRPr="00450B31" w:rsidRDefault="00A318E7" w:rsidP="00A318E7">
      <w:pPr>
        <w:spacing w:after="0" w:line="240" w:lineRule="auto"/>
        <w:jc w:val="both"/>
        <w:rPr>
          <w:rFonts w:ascii="Times New Roman" w:eastAsia="Times New Roman" w:hAnsi="Times New Roman"/>
          <w:sz w:val="24"/>
          <w:szCs w:val="24"/>
          <w:lang w:eastAsia="pt-BR"/>
        </w:rPr>
      </w:pPr>
    </w:p>
    <w:p w:rsidR="00A318E7" w:rsidRPr="00450B31" w:rsidRDefault="00A318E7" w:rsidP="00A318E7">
      <w:pPr>
        <w:numPr>
          <w:ilvl w:val="0"/>
          <w:numId w:val="1"/>
        </w:numPr>
        <w:spacing w:after="0" w:line="240" w:lineRule="auto"/>
        <w:jc w:val="both"/>
        <w:rPr>
          <w:rFonts w:ascii="Times New Roman" w:eastAsia="Times New Roman" w:hAnsi="Times New Roman"/>
          <w:sz w:val="24"/>
          <w:szCs w:val="24"/>
          <w:lang w:eastAsia="pt-BR"/>
        </w:rPr>
      </w:pPr>
      <w:r w:rsidRPr="00450B31">
        <w:rPr>
          <w:rFonts w:ascii="Times New Roman" w:eastAsia="Times New Roman" w:hAnsi="Times New Roman"/>
          <w:sz w:val="24"/>
          <w:szCs w:val="24"/>
          <w:lang w:eastAsia="pt-BR"/>
        </w:rPr>
        <w:t>Registro Comercial, no caso de empresa individual;</w:t>
      </w:r>
    </w:p>
    <w:p w:rsidR="00A318E7" w:rsidRPr="00450B31" w:rsidRDefault="00A318E7" w:rsidP="00A318E7">
      <w:pPr>
        <w:numPr>
          <w:ilvl w:val="0"/>
          <w:numId w:val="1"/>
        </w:numPr>
        <w:spacing w:after="0" w:line="240" w:lineRule="auto"/>
        <w:jc w:val="both"/>
        <w:rPr>
          <w:rFonts w:ascii="Times New Roman" w:eastAsia="Times New Roman" w:hAnsi="Times New Roman"/>
          <w:sz w:val="24"/>
          <w:szCs w:val="24"/>
          <w:lang w:eastAsia="pt-BR"/>
        </w:rPr>
      </w:pPr>
      <w:r w:rsidRPr="00450B31">
        <w:rPr>
          <w:rFonts w:ascii="Times New Roman" w:eastAsia="Times New Roman" w:hAnsi="Times New Roman"/>
          <w:sz w:val="24"/>
          <w:szCs w:val="24"/>
          <w:lang w:eastAsia="pt-BR"/>
        </w:rPr>
        <w:t>Ato constitutivo, estatuto ou contrato social em vigor, devidamente registrado, em se tratando de sociedades comerciais e, no caso de sociedades por ações, acompanhado de documentos de eleição de seus administradores;</w:t>
      </w:r>
    </w:p>
    <w:p w:rsidR="00A318E7" w:rsidRPr="00450B31" w:rsidRDefault="00A318E7" w:rsidP="00A318E7">
      <w:pPr>
        <w:numPr>
          <w:ilvl w:val="0"/>
          <w:numId w:val="1"/>
        </w:numPr>
        <w:spacing w:after="0" w:line="240" w:lineRule="auto"/>
        <w:jc w:val="both"/>
        <w:rPr>
          <w:rFonts w:ascii="Times New Roman" w:eastAsia="Times New Roman" w:hAnsi="Times New Roman"/>
          <w:sz w:val="24"/>
          <w:szCs w:val="24"/>
          <w:lang w:eastAsia="pt-BR"/>
        </w:rPr>
      </w:pPr>
      <w:r w:rsidRPr="00450B31">
        <w:rPr>
          <w:rFonts w:ascii="Times New Roman" w:eastAsia="Times New Roman" w:hAnsi="Times New Roman"/>
          <w:sz w:val="24"/>
          <w:szCs w:val="24"/>
          <w:lang w:eastAsia="pt-BR"/>
        </w:rPr>
        <w:t>Inscrição do ato constitutivo, no caso de sociedades civis, acompanhado de prova de diretoria em exercício;</w:t>
      </w:r>
    </w:p>
    <w:p w:rsidR="00A318E7" w:rsidRPr="00450B31" w:rsidRDefault="00A318E7" w:rsidP="00A318E7">
      <w:pPr>
        <w:numPr>
          <w:ilvl w:val="0"/>
          <w:numId w:val="1"/>
        </w:numPr>
        <w:spacing w:after="0" w:line="240" w:lineRule="auto"/>
        <w:jc w:val="both"/>
        <w:rPr>
          <w:rFonts w:ascii="Times New Roman" w:eastAsia="Times New Roman" w:hAnsi="Times New Roman"/>
          <w:sz w:val="24"/>
          <w:szCs w:val="24"/>
          <w:lang w:eastAsia="pt-BR"/>
        </w:rPr>
      </w:pPr>
      <w:r w:rsidRPr="00450B31">
        <w:rPr>
          <w:rFonts w:ascii="Times New Roman" w:eastAsia="Times New Roman" w:hAnsi="Times New Roman"/>
          <w:sz w:val="24"/>
          <w:szCs w:val="24"/>
          <w:lang w:eastAsia="pt-BR"/>
        </w:rPr>
        <w:t>Decreto de autorização, em se tratando de empresa ou sociedade estrangeira em funcionamento no País, e ato de registro ou autorização para funcionamento expedido pelo órgão competente, quando a atividade assim o exigir.</w:t>
      </w:r>
    </w:p>
    <w:p w:rsidR="00A318E7" w:rsidRPr="00450B31" w:rsidRDefault="00A318E7" w:rsidP="00A318E7">
      <w:pPr>
        <w:spacing w:after="0" w:line="240" w:lineRule="auto"/>
        <w:jc w:val="both"/>
        <w:rPr>
          <w:rFonts w:ascii="Times New Roman" w:eastAsia="Times New Roman" w:hAnsi="Times New Roman"/>
          <w:sz w:val="24"/>
          <w:szCs w:val="24"/>
          <w:lang w:eastAsia="pt-BR"/>
        </w:rPr>
      </w:pPr>
    </w:p>
    <w:p w:rsidR="00A318E7" w:rsidRPr="00450B31" w:rsidRDefault="00A318E7" w:rsidP="00A318E7">
      <w:pPr>
        <w:spacing w:after="0" w:line="240" w:lineRule="auto"/>
        <w:rPr>
          <w:rFonts w:ascii="Times New Roman" w:eastAsia="Times New Roman" w:hAnsi="Times New Roman"/>
          <w:b/>
          <w:sz w:val="24"/>
          <w:szCs w:val="24"/>
          <w:u w:val="single"/>
          <w:lang w:eastAsia="pt-BR"/>
        </w:rPr>
      </w:pPr>
      <w:r w:rsidRPr="00450B31">
        <w:rPr>
          <w:rFonts w:ascii="Times New Roman" w:eastAsia="Times New Roman" w:hAnsi="Times New Roman"/>
          <w:b/>
          <w:sz w:val="24"/>
          <w:szCs w:val="24"/>
          <w:u w:val="single"/>
          <w:lang w:eastAsia="pt-BR"/>
        </w:rPr>
        <w:t>II. Qualificação Técnica:</w:t>
      </w:r>
    </w:p>
    <w:p w:rsidR="00A318E7" w:rsidRPr="00450B31" w:rsidRDefault="00A318E7" w:rsidP="00A318E7">
      <w:pPr>
        <w:spacing w:after="0" w:line="240" w:lineRule="auto"/>
        <w:jc w:val="both"/>
        <w:rPr>
          <w:rFonts w:ascii="Times New Roman" w:eastAsia="Times New Roman" w:hAnsi="Times New Roman"/>
          <w:sz w:val="24"/>
          <w:szCs w:val="24"/>
          <w:lang w:eastAsia="pt-BR"/>
        </w:rPr>
      </w:pPr>
    </w:p>
    <w:p w:rsidR="00A318E7" w:rsidRPr="00450B31" w:rsidRDefault="00A318E7" w:rsidP="00A318E7">
      <w:pPr>
        <w:numPr>
          <w:ilvl w:val="0"/>
          <w:numId w:val="2"/>
        </w:numPr>
        <w:spacing w:after="0" w:line="240" w:lineRule="auto"/>
        <w:jc w:val="both"/>
        <w:rPr>
          <w:rFonts w:ascii="Times New Roman" w:eastAsia="Times New Roman" w:hAnsi="Times New Roman"/>
          <w:sz w:val="24"/>
          <w:szCs w:val="24"/>
          <w:lang w:eastAsia="pt-BR"/>
        </w:rPr>
      </w:pPr>
      <w:r w:rsidRPr="00450B31">
        <w:rPr>
          <w:rFonts w:ascii="Times New Roman" w:eastAsia="Times New Roman" w:hAnsi="Times New Roman"/>
          <w:sz w:val="24"/>
          <w:szCs w:val="24"/>
          <w:lang w:eastAsia="pt-BR"/>
        </w:rPr>
        <w:t>Registro ou inscrição na entidade profissional competente;</w:t>
      </w:r>
    </w:p>
    <w:p w:rsidR="00A318E7" w:rsidRPr="00450B31" w:rsidRDefault="00A318E7" w:rsidP="00A318E7">
      <w:pPr>
        <w:spacing w:after="0" w:line="240" w:lineRule="auto"/>
        <w:rPr>
          <w:rFonts w:ascii="Times New Roman" w:eastAsia="Times New Roman" w:hAnsi="Times New Roman"/>
          <w:b/>
          <w:sz w:val="24"/>
          <w:szCs w:val="24"/>
          <w:u w:val="single"/>
          <w:lang w:eastAsia="pt-BR"/>
        </w:rPr>
      </w:pPr>
    </w:p>
    <w:p w:rsidR="00A318E7" w:rsidRPr="00450B31" w:rsidRDefault="00A318E7" w:rsidP="00A318E7">
      <w:pPr>
        <w:spacing w:after="0" w:line="240" w:lineRule="auto"/>
        <w:rPr>
          <w:rFonts w:ascii="Times New Roman" w:eastAsia="Times New Roman" w:hAnsi="Times New Roman"/>
          <w:b/>
          <w:sz w:val="24"/>
          <w:szCs w:val="24"/>
          <w:u w:val="single"/>
          <w:lang w:eastAsia="pt-BR"/>
        </w:rPr>
      </w:pPr>
      <w:r w:rsidRPr="00450B31">
        <w:rPr>
          <w:rFonts w:ascii="Times New Roman" w:eastAsia="Times New Roman" w:hAnsi="Times New Roman"/>
          <w:b/>
          <w:sz w:val="24"/>
          <w:szCs w:val="24"/>
          <w:u w:val="single"/>
          <w:lang w:eastAsia="pt-BR"/>
        </w:rPr>
        <w:t>III. Qualificação Econômico-Financeira:</w:t>
      </w:r>
    </w:p>
    <w:p w:rsidR="00A318E7" w:rsidRPr="00450B31" w:rsidRDefault="00A318E7" w:rsidP="00A318E7">
      <w:pPr>
        <w:numPr>
          <w:ilvl w:val="0"/>
          <w:numId w:val="3"/>
        </w:numPr>
        <w:spacing w:after="0" w:line="240" w:lineRule="auto"/>
        <w:jc w:val="both"/>
        <w:rPr>
          <w:rFonts w:ascii="Times New Roman" w:eastAsia="Times New Roman" w:hAnsi="Times New Roman"/>
          <w:sz w:val="24"/>
          <w:szCs w:val="24"/>
          <w:lang w:eastAsia="pt-BR"/>
        </w:rPr>
      </w:pPr>
      <w:r w:rsidRPr="00450B31">
        <w:rPr>
          <w:rFonts w:ascii="Times New Roman" w:eastAsia="Times New Roman" w:hAnsi="Times New Roman"/>
          <w:sz w:val="24"/>
          <w:szCs w:val="24"/>
          <w:lang w:eastAsia="pt-BR"/>
        </w:rPr>
        <w:t>Balanço patrimonial e demonstrações contábeis do último exercício social, já exigíveis e apresentados na forma de Lei, que comprovem boa situação financeira da empresa, vedada a sua substituição por balancetes ou balanços provisórios, podendo ser atualizados por índices oficiais quando encerrados a mais de 3(três) meses da data de apresentação da proposta. Aceitando-se “Declaração de Informações Socioeconômicas e Fiscais (</w:t>
      </w:r>
      <w:proofErr w:type="gramStart"/>
      <w:r w:rsidRPr="00450B31">
        <w:rPr>
          <w:rFonts w:ascii="Times New Roman" w:eastAsia="Times New Roman" w:hAnsi="Times New Roman"/>
          <w:sz w:val="24"/>
          <w:szCs w:val="24"/>
          <w:lang w:eastAsia="pt-BR"/>
        </w:rPr>
        <w:t>DEFIS)”</w:t>
      </w:r>
      <w:proofErr w:type="gramEnd"/>
      <w:r w:rsidRPr="00450B31">
        <w:rPr>
          <w:rFonts w:ascii="Times New Roman" w:eastAsia="Times New Roman" w:hAnsi="Times New Roman"/>
          <w:sz w:val="24"/>
          <w:szCs w:val="24"/>
          <w:lang w:eastAsia="pt-BR"/>
        </w:rPr>
        <w:t>, no caso de ME e EPP optantes por este regime diferenciado, haja vista sua dispensa legal de apresentação de balanços, nos termos dos artigos 970 e 1.179, § 2º do Código Civil.</w:t>
      </w:r>
    </w:p>
    <w:p w:rsidR="00A318E7" w:rsidRPr="00450B31" w:rsidRDefault="00A318E7" w:rsidP="00A318E7">
      <w:pPr>
        <w:spacing w:after="0" w:line="240" w:lineRule="auto"/>
        <w:jc w:val="both"/>
        <w:rPr>
          <w:rFonts w:ascii="Times New Roman" w:eastAsia="Times New Roman" w:hAnsi="Times New Roman"/>
          <w:sz w:val="24"/>
          <w:szCs w:val="24"/>
          <w:lang w:eastAsia="pt-BR"/>
        </w:rPr>
      </w:pPr>
    </w:p>
    <w:p w:rsidR="00A318E7" w:rsidRPr="00450B31" w:rsidRDefault="00A318E7" w:rsidP="00A318E7">
      <w:pPr>
        <w:numPr>
          <w:ilvl w:val="1"/>
          <w:numId w:val="3"/>
        </w:numPr>
        <w:spacing w:after="0" w:line="240" w:lineRule="auto"/>
        <w:jc w:val="both"/>
        <w:rPr>
          <w:rFonts w:ascii="Times New Roman" w:eastAsia="Times New Roman" w:hAnsi="Times New Roman"/>
          <w:sz w:val="24"/>
          <w:szCs w:val="24"/>
          <w:lang w:eastAsia="pt-BR"/>
        </w:rPr>
      </w:pPr>
      <w:r w:rsidRPr="00450B31">
        <w:rPr>
          <w:rFonts w:ascii="Times New Roman" w:eastAsia="Times New Roman" w:hAnsi="Times New Roman"/>
          <w:sz w:val="24"/>
          <w:szCs w:val="24"/>
          <w:lang w:eastAsia="pt-BR"/>
        </w:rPr>
        <w:t>No caso de empresas recém-constituídas, consideradas aquelas que possuem tempo de atividade inferior a 01 (um) ano, poderão ser apresentadas balanço de abertura, assinado por contador devidamente habilitado.</w:t>
      </w:r>
    </w:p>
    <w:p w:rsidR="00A318E7" w:rsidRPr="00450B31" w:rsidRDefault="00A318E7" w:rsidP="00A318E7">
      <w:pPr>
        <w:spacing w:after="0" w:line="240" w:lineRule="auto"/>
        <w:jc w:val="both"/>
        <w:rPr>
          <w:rFonts w:ascii="Times New Roman" w:eastAsia="Times New Roman" w:hAnsi="Times New Roman"/>
          <w:sz w:val="24"/>
          <w:szCs w:val="24"/>
          <w:lang w:eastAsia="pt-BR"/>
        </w:rPr>
      </w:pPr>
    </w:p>
    <w:p w:rsidR="00A318E7" w:rsidRPr="00450B31" w:rsidRDefault="00A318E7" w:rsidP="00A318E7">
      <w:pPr>
        <w:numPr>
          <w:ilvl w:val="0"/>
          <w:numId w:val="3"/>
        </w:numPr>
        <w:spacing w:after="0" w:line="240" w:lineRule="auto"/>
        <w:jc w:val="both"/>
        <w:rPr>
          <w:rFonts w:ascii="Times New Roman" w:eastAsia="Times New Roman" w:hAnsi="Times New Roman"/>
          <w:sz w:val="24"/>
          <w:szCs w:val="24"/>
          <w:lang w:eastAsia="pt-BR"/>
        </w:rPr>
      </w:pPr>
      <w:r w:rsidRPr="00450B31">
        <w:rPr>
          <w:rFonts w:ascii="Times New Roman" w:eastAsia="Times New Roman" w:hAnsi="Times New Roman"/>
          <w:sz w:val="24"/>
          <w:szCs w:val="24"/>
          <w:lang w:eastAsia="pt-BR"/>
        </w:rPr>
        <w:t>Os balanços e demonstrações devem conter os registros no órgão competente e estar devidamente assinados pelo representante legal da empresa e pelo profissional habilitado junto ao Conselho Regional de Contabilidade – CRC e vir acompanhados dos termos de abertura e encerramento.</w:t>
      </w:r>
    </w:p>
    <w:p w:rsidR="00A318E7" w:rsidRPr="00450B31" w:rsidRDefault="00A318E7" w:rsidP="00A318E7">
      <w:pPr>
        <w:spacing w:after="0" w:line="240" w:lineRule="auto"/>
        <w:jc w:val="both"/>
        <w:rPr>
          <w:rFonts w:ascii="Times New Roman" w:eastAsia="Times New Roman" w:hAnsi="Times New Roman"/>
          <w:sz w:val="24"/>
          <w:szCs w:val="24"/>
          <w:lang w:eastAsia="pt-BR"/>
        </w:rPr>
      </w:pPr>
    </w:p>
    <w:p w:rsidR="00A318E7" w:rsidRPr="00450B31" w:rsidRDefault="00A318E7" w:rsidP="00A318E7">
      <w:pPr>
        <w:numPr>
          <w:ilvl w:val="0"/>
          <w:numId w:val="3"/>
        </w:numPr>
        <w:spacing w:after="0" w:line="240" w:lineRule="auto"/>
        <w:jc w:val="both"/>
        <w:rPr>
          <w:rFonts w:ascii="Times New Roman" w:eastAsia="Times New Roman" w:hAnsi="Times New Roman"/>
          <w:sz w:val="24"/>
          <w:szCs w:val="24"/>
          <w:lang w:eastAsia="pt-BR"/>
        </w:rPr>
      </w:pPr>
      <w:r w:rsidRPr="00450B31">
        <w:rPr>
          <w:rFonts w:ascii="Times New Roman" w:eastAsia="Times New Roman" w:hAnsi="Times New Roman"/>
          <w:sz w:val="24"/>
          <w:szCs w:val="24"/>
          <w:lang w:eastAsia="pt-BR"/>
        </w:rPr>
        <w:t xml:space="preserve">No caso de Escrituração Digital – SPED, deverá apresentar o Balanço Patrimonial extraído do sistema, juntamente com o recibo de entrega de livro digital e requerimento de autenticação de livro </w:t>
      </w:r>
      <w:r w:rsidRPr="00450B31">
        <w:rPr>
          <w:rFonts w:ascii="Times New Roman" w:eastAsia="Times New Roman" w:hAnsi="Times New Roman"/>
          <w:sz w:val="24"/>
          <w:szCs w:val="24"/>
          <w:lang w:eastAsia="pt-BR"/>
        </w:rPr>
        <w:lastRenderedPageBreak/>
        <w:t xml:space="preserve">digital, que comprove a boa situação financeira da empresa, conforme previsto no item 1. </w:t>
      </w:r>
    </w:p>
    <w:p w:rsidR="00A318E7" w:rsidRPr="00450B31" w:rsidRDefault="00A318E7" w:rsidP="00A318E7">
      <w:pPr>
        <w:spacing w:after="0" w:line="240" w:lineRule="auto"/>
        <w:jc w:val="both"/>
        <w:rPr>
          <w:rFonts w:ascii="Times New Roman" w:eastAsia="Times New Roman" w:hAnsi="Times New Roman"/>
          <w:sz w:val="24"/>
          <w:szCs w:val="24"/>
          <w:lang w:eastAsia="pt-BR"/>
        </w:rPr>
      </w:pPr>
    </w:p>
    <w:p w:rsidR="00A318E7" w:rsidRPr="00450B31" w:rsidRDefault="00A318E7" w:rsidP="00A318E7">
      <w:pPr>
        <w:numPr>
          <w:ilvl w:val="0"/>
          <w:numId w:val="3"/>
        </w:numPr>
        <w:autoSpaceDE w:val="0"/>
        <w:autoSpaceDN w:val="0"/>
        <w:adjustRightInd w:val="0"/>
        <w:spacing w:after="0" w:line="240" w:lineRule="auto"/>
        <w:jc w:val="both"/>
        <w:rPr>
          <w:rFonts w:ascii="Times New Roman" w:eastAsia="Times New Roman" w:hAnsi="Times New Roman"/>
          <w:color w:val="000000"/>
          <w:sz w:val="24"/>
          <w:szCs w:val="24"/>
          <w:lang w:eastAsia="pt-BR"/>
        </w:rPr>
      </w:pPr>
      <w:r w:rsidRPr="00450B31">
        <w:rPr>
          <w:rFonts w:ascii="Times New Roman" w:eastAsia="Times New Roman" w:hAnsi="Times New Roman"/>
          <w:color w:val="000000"/>
          <w:sz w:val="24"/>
          <w:szCs w:val="24"/>
          <w:lang w:eastAsia="pt-BR"/>
        </w:rPr>
        <w:t>Certidão negativa de falência, recuperação judicial ou extrajudicial expedida pelo distribuidor da sede da pessoa jurídica, com validade de 180 (cento e oitenta) dias a partir da sua emissão.</w:t>
      </w:r>
    </w:p>
    <w:p w:rsidR="00A318E7" w:rsidRPr="00450B31" w:rsidRDefault="00A318E7" w:rsidP="00A318E7">
      <w:pPr>
        <w:spacing w:after="0" w:line="240" w:lineRule="auto"/>
        <w:ind w:left="720"/>
        <w:jc w:val="both"/>
        <w:rPr>
          <w:rFonts w:ascii="Times New Roman" w:eastAsia="Times New Roman" w:hAnsi="Times New Roman"/>
          <w:sz w:val="24"/>
          <w:szCs w:val="24"/>
          <w:lang w:eastAsia="pt-BR"/>
        </w:rPr>
      </w:pPr>
    </w:p>
    <w:p w:rsidR="00A318E7" w:rsidRPr="00450B31" w:rsidRDefault="00A318E7" w:rsidP="00A318E7">
      <w:pPr>
        <w:numPr>
          <w:ilvl w:val="1"/>
          <w:numId w:val="3"/>
        </w:numPr>
        <w:tabs>
          <w:tab w:val="left" w:pos="851"/>
        </w:tabs>
        <w:autoSpaceDE w:val="0"/>
        <w:autoSpaceDN w:val="0"/>
        <w:adjustRightInd w:val="0"/>
        <w:spacing w:after="0" w:line="240" w:lineRule="auto"/>
        <w:ind w:left="709" w:hanging="349"/>
        <w:jc w:val="both"/>
        <w:rPr>
          <w:rFonts w:ascii="Times New Roman" w:hAnsi="Times New Roman"/>
          <w:color w:val="000000"/>
          <w:spacing w:val="-4"/>
          <w:sz w:val="24"/>
          <w:szCs w:val="24"/>
        </w:rPr>
      </w:pPr>
      <w:r w:rsidRPr="00450B31">
        <w:rPr>
          <w:rFonts w:ascii="Times New Roman" w:hAnsi="Times New Roman"/>
          <w:color w:val="000000"/>
          <w:w w:val="103"/>
          <w:sz w:val="24"/>
          <w:szCs w:val="24"/>
        </w:rPr>
        <w:t xml:space="preserve"> Apenas no caso em que a certidão positiva for relaciona à recuperação judicial, poderá o licitante apresentar o </w:t>
      </w:r>
      <w:r w:rsidRPr="00450B31">
        <w:rPr>
          <w:rFonts w:ascii="Times New Roman" w:hAnsi="Times New Roman"/>
          <w:sz w:val="24"/>
          <w:szCs w:val="24"/>
        </w:rPr>
        <w:t xml:space="preserve">Plano de Recuperação já homologado pelo juízo competente e em pleno vigor, sem prejuízo do atendimento a todos os requisitos de habilitação econômico-financeira estabelecidos no edital. </w:t>
      </w:r>
    </w:p>
    <w:p w:rsidR="00A318E7" w:rsidRPr="00450B31" w:rsidRDefault="00A318E7" w:rsidP="00A318E7">
      <w:pPr>
        <w:spacing w:after="0" w:line="240" w:lineRule="auto"/>
        <w:ind w:left="720"/>
        <w:jc w:val="both"/>
        <w:rPr>
          <w:rFonts w:ascii="Times New Roman" w:eastAsia="Times New Roman" w:hAnsi="Times New Roman"/>
          <w:sz w:val="24"/>
          <w:szCs w:val="24"/>
          <w:lang w:eastAsia="pt-BR"/>
        </w:rPr>
      </w:pPr>
    </w:p>
    <w:p w:rsidR="00A318E7" w:rsidRPr="00450B31" w:rsidRDefault="00A318E7" w:rsidP="00A318E7">
      <w:pPr>
        <w:spacing w:after="0" w:line="240" w:lineRule="auto"/>
        <w:rPr>
          <w:rFonts w:ascii="Times New Roman" w:eastAsia="Times New Roman" w:hAnsi="Times New Roman"/>
          <w:b/>
          <w:sz w:val="24"/>
          <w:szCs w:val="24"/>
          <w:u w:val="single"/>
          <w:lang w:eastAsia="pt-BR"/>
        </w:rPr>
      </w:pPr>
      <w:r w:rsidRPr="00450B31">
        <w:rPr>
          <w:rFonts w:ascii="Times New Roman" w:eastAsia="Times New Roman" w:hAnsi="Times New Roman"/>
          <w:b/>
          <w:sz w:val="24"/>
          <w:szCs w:val="24"/>
          <w:u w:val="single"/>
          <w:lang w:eastAsia="pt-BR"/>
        </w:rPr>
        <w:t>IV. Regularidade Fiscal e Trabalhista:</w:t>
      </w:r>
    </w:p>
    <w:p w:rsidR="00A318E7" w:rsidRPr="00450B31" w:rsidRDefault="00A318E7" w:rsidP="00A318E7">
      <w:pPr>
        <w:spacing w:after="0" w:line="240" w:lineRule="auto"/>
        <w:jc w:val="both"/>
        <w:rPr>
          <w:rFonts w:ascii="Times New Roman" w:eastAsia="Times New Roman" w:hAnsi="Times New Roman"/>
          <w:sz w:val="24"/>
          <w:szCs w:val="24"/>
          <w:lang w:eastAsia="pt-BR"/>
        </w:rPr>
      </w:pPr>
    </w:p>
    <w:p w:rsidR="00A318E7" w:rsidRPr="00450B31" w:rsidRDefault="00A318E7" w:rsidP="00A318E7">
      <w:pPr>
        <w:numPr>
          <w:ilvl w:val="0"/>
          <w:numId w:val="4"/>
        </w:numPr>
        <w:autoSpaceDE w:val="0"/>
        <w:autoSpaceDN w:val="0"/>
        <w:adjustRightInd w:val="0"/>
        <w:spacing w:after="0" w:line="240" w:lineRule="auto"/>
        <w:jc w:val="both"/>
        <w:rPr>
          <w:rFonts w:ascii="Times New Roman" w:eastAsia="Times New Roman" w:hAnsi="Times New Roman"/>
          <w:color w:val="000000"/>
          <w:sz w:val="24"/>
          <w:szCs w:val="24"/>
          <w:lang w:eastAsia="pt-BR"/>
        </w:rPr>
      </w:pPr>
      <w:r w:rsidRPr="00450B31">
        <w:rPr>
          <w:rFonts w:ascii="Times New Roman" w:eastAsia="Times New Roman" w:hAnsi="Times New Roman"/>
          <w:color w:val="000000"/>
          <w:sz w:val="24"/>
          <w:szCs w:val="24"/>
          <w:lang w:eastAsia="pt-BR"/>
        </w:rPr>
        <w:t>Prova de inscrição no Cadastro Nacional de Pessoas Jurídicas do Ministério da Fazenda (CNPJ);</w:t>
      </w:r>
    </w:p>
    <w:p w:rsidR="00A318E7" w:rsidRPr="00450B31" w:rsidRDefault="00A318E7" w:rsidP="00A318E7">
      <w:pPr>
        <w:autoSpaceDE w:val="0"/>
        <w:autoSpaceDN w:val="0"/>
        <w:adjustRightInd w:val="0"/>
        <w:spacing w:after="0" w:line="240" w:lineRule="auto"/>
        <w:ind w:left="360"/>
        <w:jc w:val="both"/>
        <w:rPr>
          <w:rFonts w:ascii="Times New Roman" w:eastAsia="Times New Roman" w:hAnsi="Times New Roman"/>
          <w:b/>
          <w:bCs/>
          <w:color w:val="000000"/>
          <w:sz w:val="24"/>
          <w:szCs w:val="24"/>
          <w:lang w:eastAsia="pt-BR"/>
        </w:rPr>
      </w:pPr>
    </w:p>
    <w:p w:rsidR="00A318E7" w:rsidRPr="00450B31" w:rsidRDefault="00A318E7" w:rsidP="00A318E7">
      <w:pPr>
        <w:numPr>
          <w:ilvl w:val="0"/>
          <w:numId w:val="4"/>
        </w:numPr>
        <w:autoSpaceDE w:val="0"/>
        <w:autoSpaceDN w:val="0"/>
        <w:adjustRightInd w:val="0"/>
        <w:spacing w:after="0" w:line="240" w:lineRule="auto"/>
        <w:jc w:val="both"/>
        <w:rPr>
          <w:rFonts w:ascii="Times New Roman" w:eastAsia="Times New Roman" w:hAnsi="Times New Roman"/>
          <w:color w:val="000000"/>
          <w:sz w:val="24"/>
          <w:szCs w:val="24"/>
          <w:lang w:eastAsia="pt-BR"/>
        </w:rPr>
      </w:pPr>
      <w:r w:rsidRPr="00450B31">
        <w:rPr>
          <w:rFonts w:ascii="Times New Roman" w:eastAsia="Times New Roman" w:hAnsi="Times New Roman"/>
          <w:color w:val="000000"/>
          <w:sz w:val="24"/>
          <w:szCs w:val="24"/>
          <w:lang w:eastAsia="pt-BR"/>
        </w:rPr>
        <w:t>Prova de inscrição no Cadastro de Contribuintes Estadual ou Municipal, se houver, relativo ao domicílio ou sede do licitante, pertinente ao seu ramo de atividade e compatível com o objeto deste certame;</w:t>
      </w:r>
    </w:p>
    <w:p w:rsidR="00A318E7" w:rsidRPr="00450B31" w:rsidRDefault="00A318E7" w:rsidP="00A318E7">
      <w:pPr>
        <w:autoSpaceDE w:val="0"/>
        <w:autoSpaceDN w:val="0"/>
        <w:adjustRightInd w:val="0"/>
        <w:spacing w:after="0" w:line="240" w:lineRule="auto"/>
        <w:ind w:left="720"/>
        <w:jc w:val="both"/>
        <w:rPr>
          <w:rFonts w:ascii="Times New Roman" w:eastAsia="Times New Roman" w:hAnsi="Times New Roman"/>
          <w:b/>
          <w:bCs/>
          <w:color w:val="000000"/>
          <w:sz w:val="24"/>
          <w:szCs w:val="24"/>
          <w:lang w:eastAsia="pt-BR"/>
        </w:rPr>
      </w:pPr>
    </w:p>
    <w:p w:rsidR="00A318E7" w:rsidRPr="00450B31" w:rsidRDefault="00A318E7" w:rsidP="00A318E7">
      <w:pPr>
        <w:numPr>
          <w:ilvl w:val="0"/>
          <w:numId w:val="4"/>
        </w:numPr>
        <w:autoSpaceDE w:val="0"/>
        <w:autoSpaceDN w:val="0"/>
        <w:adjustRightInd w:val="0"/>
        <w:spacing w:after="0" w:line="240" w:lineRule="auto"/>
        <w:jc w:val="both"/>
        <w:rPr>
          <w:rFonts w:ascii="Times New Roman" w:eastAsia="Times New Roman" w:hAnsi="Times New Roman"/>
          <w:color w:val="000000"/>
          <w:sz w:val="24"/>
          <w:szCs w:val="24"/>
          <w:lang w:eastAsia="pt-BR"/>
        </w:rPr>
      </w:pPr>
      <w:r w:rsidRPr="00450B31">
        <w:rPr>
          <w:rFonts w:ascii="Times New Roman" w:eastAsia="Times New Roman" w:hAnsi="Times New Roman"/>
          <w:color w:val="000000"/>
          <w:sz w:val="24"/>
          <w:szCs w:val="24"/>
          <w:lang w:eastAsia="pt-BR"/>
        </w:rPr>
        <w:t>Prova de regularidade para com as Fazendas Federal, Estadual e Municipal, do domicílio ou sede do licitante, ou outra equivalente na forma da lei, mediante a apresentação das seguintes certidões:</w:t>
      </w:r>
    </w:p>
    <w:p w:rsidR="00A318E7" w:rsidRPr="00450B31" w:rsidRDefault="00A318E7" w:rsidP="00A318E7">
      <w:pPr>
        <w:spacing w:after="0" w:line="240" w:lineRule="auto"/>
        <w:ind w:left="720"/>
        <w:jc w:val="both"/>
        <w:rPr>
          <w:rFonts w:ascii="Times New Roman" w:eastAsia="Times New Roman" w:hAnsi="Times New Roman"/>
          <w:b/>
          <w:color w:val="000000"/>
          <w:sz w:val="24"/>
          <w:szCs w:val="24"/>
          <w:lang w:eastAsia="pt-BR"/>
        </w:rPr>
      </w:pPr>
    </w:p>
    <w:p w:rsidR="00A318E7" w:rsidRPr="00450B31" w:rsidRDefault="00A318E7" w:rsidP="00A318E7">
      <w:pPr>
        <w:spacing w:after="0" w:line="240" w:lineRule="auto"/>
        <w:ind w:left="720"/>
        <w:jc w:val="both"/>
        <w:rPr>
          <w:rFonts w:ascii="Times New Roman" w:eastAsia="Times New Roman" w:hAnsi="Times New Roman"/>
          <w:sz w:val="24"/>
          <w:szCs w:val="24"/>
          <w:lang w:eastAsia="pt-BR"/>
        </w:rPr>
      </w:pPr>
      <w:r w:rsidRPr="00450B31">
        <w:rPr>
          <w:rFonts w:ascii="Times New Roman" w:eastAsia="Times New Roman" w:hAnsi="Times New Roman"/>
          <w:b/>
          <w:color w:val="000000"/>
          <w:sz w:val="24"/>
          <w:szCs w:val="24"/>
          <w:lang w:eastAsia="pt-BR"/>
        </w:rPr>
        <w:t>3.1.</w:t>
      </w:r>
      <w:r w:rsidRPr="00450B31">
        <w:rPr>
          <w:rFonts w:ascii="Times New Roman" w:eastAsia="Times New Roman" w:hAnsi="Times New Roman"/>
          <w:color w:val="000000"/>
          <w:sz w:val="24"/>
          <w:szCs w:val="24"/>
          <w:lang w:eastAsia="pt-BR"/>
        </w:rPr>
        <w:t xml:space="preserve"> Certidão Conjunta Negativa de Débitos ou Certidão Conjunta Positiva com Efeitos de Negativa, relativos a Tributos Federais (inclusive as contribuições sociais) e à Dívida Ativa da União, expedida pela Secretaria</w:t>
      </w:r>
      <w:r w:rsidRPr="00450B31">
        <w:rPr>
          <w:rFonts w:ascii="Times New Roman" w:eastAsia="Times New Roman" w:hAnsi="Times New Roman"/>
          <w:sz w:val="24"/>
          <w:szCs w:val="24"/>
          <w:lang w:eastAsia="pt-BR"/>
        </w:rPr>
        <w:t xml:space="preserve"> da Receita Federal;   </w:t>
      </w:r>
    </w:p>
    <w:p w:rsidR="00A318E7" w:rsidRPr="00450B31" w:rsidRDefault="00A318E7" w:rsidP="00A318E7">
      <w:pPr>
        <w:spacing w:after="0" w:line="240" w:lineRule="auto"/>
        <w:ind w:left="720"/>
        <w:jc w:val="both"/>
        <w:rPr>
          <w:rFonts w:ascii="Times New Roman" w:eastAsia="Times New Roman" w:hAnsi="Times New Roman"/>
          <w:b/>
          <w:sz w:val="24"/>
          <w:szCs w:val="24"/>
          <w:lang w:eastAsia="pt-BR"/>
        </w:rPr>
      </w:pPr>
    </w:p>
    <w:p w:rsidR="00A318E7" w:rsidRPr="00450B31" w:rsidRDefault="00A318E7" w:rsidP="00A318E7">
      <w:pPr>
        <w:numPr>
          <w:ilvl w:val="1"/>
          <w:numId w:val="4"/>
        </w:numPr>
        <w:spacing w:after="0" w:line="240" w:lineRule="auto"/>
        <w:jc w:val="both"/>
        <w:rPr>
          <w:rFonts w:ascii="Times New Roman" w:hAnsi="Times New Roman"/>
          <w:iCs/>
          <w:sz w:val="24"/>
          <w:szCs w:val="24"/>
        </w:rPr>
      </w:pPr>
      <w:r w:rsidRPr="00450B31">
        <w:rPr>
          <w:rFonts w:ascii="Times New Roman" w:hAnsi="Times New Roman"/>
          <w:iCs/>
          <w:sz w:val="24"/>
          <w:szCs w:val="24"/>
        </w:rPr>
        <w:t xml:space="preserve">Certidão Negativa de Débitos </w:t>
      </w:r>
      <w:r w:rsidRPr="00450B31">
        <w:rPr>
          <w:rFonts w:ascii="Times New Roman" w:hAnsi="Times New Roman"/>
          <w:b/>
          <w:bCs/>
          <w:iCs/>
          <w:sz w:val="24"/>
          <w:szCs w:val="24"/>
        </w:rPr>
        <w:t xml:space="preserve">ou </w:t>
      </w:r>
      <w:r w:rsidRPr="00450B31">
        <w:rPr>
          <w:rFonts w:ascii="Times New Roman" w:hAnsi="Times New Roman"/>
          <w:iCs/>
          <w:sz w:val="24"/>
          <w:szCs w:val="24"/>
        </w:rPr>
        <w:t>Certidão Conjunta Positiva com Efeitos de Negativa, relativos a Tributos Mobiliários Municipais do domicílio ou sede do licitante, ou outra equivalente na forma da lei.</w:t>
      </w:r>
    </w:p>
    <w:p w:rsidR="00A318E7" w:rsidRPr="00450B31" w:rsidRDefault="00A318E7" w:rsidP="00A318E7">
      <w:pPr>
        <w:spacing w:after="0" w:line="240" w:lineRule="auto"/>
        <w:ind w:left="1428"/>
        <w:jc w:val="both"/>
        <w:rPr>
          <w:rFonts w:ascii="Times New Roman" w:hAnsi="Times New Roman"/>
          <w:iCs/>
          <w:sz w:val="24"/>
          <w:szCs w:val="24"/>
        </w:rPr>
      </w:pPr>
    </w:p>
    <w:p w:rsidR="00A318E7" w:rsidRPr="00450B31" w:rsidRDefault="00A318E7" w:rsidP="00A318E7">
      <w:pPr>
        <w:numPr>
          <w:ilvl w:val="1"/>
          <w:numId w:val="4"/>
        </w:numPr>
        <w:spacing w:after="0" w:line="240" w:lineRule="auto"/>
        <w:jc w:val="both"/>
        <w:rPr>
          <w:rFonts w:ascii="Times New Roman" w:hAnsi="Times New Roman"/>
          <w:iCs/>
          <w:sz w:val="24"/>
          <w:szCs w:val="24"/>
        </w:rPr>
      </w:pPr>
      <w:r w:rsidRPr="00450B31">
        <w:rPr>
          <w:rFonts w:ascii="Times New Roman" w:hAnsi="Times New Roman"/>
          <w:iCs/>
          <w:sz w:val="24"/>
          <w:szCs w:val="24"/>
        </w:rPr>
        <w:t xml:space="preserve">Certidão Negativa de Débitos </w:t>
      </w:r>
      <w:r w:rsidRPr="00450B31">
        <w:rPr>
          <w:rFonts w:ascii="Times New Roman" w:hAnsi="Times New Roman"/>
          <w:b/>
          <w:bCs/>
          <w:iCs/>
          <w:sz w:val="24"/>
          <w:szCs w:val="24"/>
        </w:rPr>
        <w:t xml:space="preserve">ou </w:t>
      </w:r>
      <w:r w:rsidRPr="00450B31">
        <w:rPr>
          <w:rFonts w:ascii="Times New Roman" w:hAnsi="Times New Roman"/>
          <w:iCs/>
          <w:sz w:val="24"/>
          <w:szCs w:val="24"/>
        </w:rPr>
        <w:t>Certidão Conjunta Positiva com Efeitos de Negativa, relativos a Tributos Estadual do domicílio ou sede do licitante, ou outra equivalente na forma da lei.</w:t>
      </w:r>
    </w:p>
    <w:p w:rsidR="00A318E7" w:rsidRPr="00450B31" w:rsidRDefault="00A318E7" w:rsidP="00A318E7">
      <w:pPr>
        <w:spacing w:after="0" w:line="240" w:lineRule="auto"/>
        <w:ind w:left="1428"/>
        <w:jc w:val="both"/>
        <w:rPr>
          <w:rFonts w:ascii="Times New Roman" w:hAnsi="Times New Roman"/>
          <w:iCs/>
          <w:sz w:val="24"/>
          <w:szCs w:val="24"/>
        </w:rPr>
      </w:pPr>
    </w:p>
    <w:p w:rsidR="00A318E7" w:rsidRPr="00450B31" w:rsidRDefault="00A318E7" w:rsidP="00A318E7">
      <w:pPr>
        <w:spacing w:after="0" w:line="240" w:lineRule="auto"/>
        <w:ind w:firstLine="709"/>
        <w:jc w:val="both"/>
        <w:rPr>
          <w:rFonts w:ascii="Times New Roman" w:hAnsi="Times New Roman"/>
          <w:sz w:val="24"/>
          <w:szCs w:val="24"/>
        </w:rPr>
      </w:pPr>
    </w:p>
    <w:p w:rsidR="00A318E7" w:rsidRPr="00450B31" w:rsidRDefault="00A318E7" w:rsidP="00A318E7">
      <w:pPr>
        <w:numPr>
          <w:ilvl w:val="0"/>
          <w:numId w:val="4"/>
        </w:numPr>
        <w:autoSpaceDE w:val="0"/>
        <w:autoSpaceDN w:val="0"/>
        <w:adjustRightInd w:val="0"/>
        <w:spacing w:after="0" w:line="240" w:lineRule="auto"/>
        <w:jc w:val="both"/>
        <w:rPr>
          <w:rFonts w:ascii="Times New Roman" w:eastAsia="Times New Roman" w:hAnsi="Times New Roman"/>
          <w:b/>
          <w:bCs/>
          <w:sz w:val="24"/>
          <w:szCs w:val="24"/>
          <w:lang w:eastAsia="pt-BR"/>
        </w:rPr>
      </w:pPr>
      <w:r w:rsidRPr="00450B31">
        <w:rPr>
          <w:rFonts w:ascii="Times New Roman" w:eastAsia="Times New Roman" w:hAnsi="Times New Roman"/>
          <w:sz w:val="24"/>
          <w:szCs w:val="24"/>
          <w:lang w:eastAsia="pt-BR"/>
        </w:rPr>
        <w:t xml:space="preserve">Certidão Negativa de Débitos </w:t>
      </w:r>
      <w:r w:rsidRPr="00450B31">
        <w:rPr>
          <w:rFonts w:ascii="Times New Roman" w:eastAsia="Times New Roman" w:hAnsi="Times New Roman"/>
          <w:b/>
          <w:bCs/>
          <w:sz w:val="24"/>
          <w:szCs w:val="24"/>
          <w:lang w:eastAsia="pt-BR"/>
        </w:rPr>
        <w:t xml:space="preserve">ou </w:t>
      </w:r>
      <w:r w:rsidRPr="00450B31">
        <w:rPr>
          <w:rFonts w:ascii="Times New Roman" w:eastAsia="Times New Roman" w:hAnsi="Times New Roman"/>
          <w:sz w:val="24"/>
          <w:szCs w:val="24"/>
          <w:lang w:eastAsia="pt-BR"/>
        </w:rPr>
        <w:t>Certidão Conjunta Positiva com Efeitos de Negativa,</w:t>
      </w:r>
      <w:r w:rsidRPr="00450B31">
        <w:rPr>
          <w:rFonts w:ascii="Times New Roman" w:eastAsia="Times New Roman" w:hAnsi="Times New Roman"/>
          <w:color w:val="000000"/>
          <w:sz w:val="24"/>
          <w:szCs w:val="24"/>
          <w:lang w:eastAsia="pt-BR"/>
        </w:rPr>
        <w:t xml:space="preserve"> perante o Fundo de Garantia por Tempo de Serviço (FGTS), por meio da apresentação do CRF - Certificado de Regularidade do FGTS;</w:t>
      </w:r>
      <w:r w:rsidRPr="00450B31">
        <w:rPr>
          <w:rFonts w:ascii="Times New Roman" w:eastAsia="Times New Roman" w:hAnsi="Times New Roman"/>
          <w:b/>
          <w:bCs/>
          <w:sz w:val="24"/>
          <w:szCs w:val="24"/>
          <w:lang w:eastAsia="pt-BR"/>
        </w:rPr>
        <w:t xml:space="preserve"> </w:t>
      </w:r>
    </w:p>
    <w:p w:rsidR="00A318E7" w:rsidRPr="00450B31" w:rsidRDefault="00A318E7" w:rsidP="00A318E7">
      <w:pPr>
        <w:autoSpaceDE w:val="0"/>
        <w:autoSpaceDN w:val="0"/>
        <w:adjustRightInd w:val="0"/>
        <w:spacing w:after="0" w:line="240" w:lineRule="auto"/>
        <w:ind w:left="720"/>
        <w:jc w:val="both"/>
        <w:rPr>
          <w:rFonts w:ascii="Times New Roman" w:eastAsia="Times New Roman" w:hAnsi="Times New Roman"/>
          <w:b/>
          <w:bCs/>
          <w:sz w:val="24"/>
          <w:szCs w:val="24"/>
          <w:lang w:eastAsia="pt-BR"/>
        </w:rPr>
      </w:pPr>
    </w:p>
    <w:p w:rsidR="00A318E7" w:rsidRPr="00450B31" w:rsidRDefault="00A318E7" w:rsidP="00A318E7">
      <w:pPr>
        <w:numPr>
          <w:ilvl w:val="0"/>
          <w:numId w:val="4"/>
        </w:numPr>
        <w:autoSpaceDE w:val="0"/>
        <w:autoSpaceDN w:val="0"/>
        <w:adjustRightInd w:val="0"/>
        <w:spacing w:after="0" w:line="240" w:lineRule="auto"/>
        <w:jc w:val="both"/>
        <w:rPr>
          <w:rFonts w:ascii="Times New Roman" w:eastAsia="Times New Roman" w:hAnsi="Times New Roman"/>
          <w:bCs/>
          <w:sz w:val="24"/>
          <w:szCs w:val="24"/>
          <w:lang w:eastAsia="pt-BR"/>
        </w:rPr>
      </w:pPr>
      <w:r w:rsidRPr="00450B31">
        <w:rPr>
          <w:rFonts w:ascii="Times New Roman" w:eastAsia="Times New Roman" w:hAnsi="Times New Roman"/>
          <w:bCs/>
          <w:sz w:val="24"/>
          <w:szCs w:val="24"/>
          <w:lang w:eastAsia="pt-BR"/>
        </w:rPr>
        <w:lastRenderedPageBreak/>
        <w:t xml:space="preserve">Prova de regularidade perante a Justiça do trabalho, mediante a apresentação de certidão negativa ou positiva com efeito negativa, nos termos do Título VII-A da Consolidação das Leis do Trabalho, aprovada pelo Decreto-Lei 5.452, de 1º de maio de 1943. </w:t>
      </w:r>
    </w:p>
    <w:p w:rsidR="00A318E7" w:rsidRPr="00450B31" w:rsidRDefault="00A318E7" w:rsidP="00A318E7">
      <w:pPr>
        <w:autoSpaceDE w:val="0"/>
        <w:autoSpaceDN w:val="0"/>
        <w:adjustRightInd w:val="0"/>
        <w:spacing w:after="0" w:line="240" w:lineRule="auto"/>
        <w:ind w:left="720"/>
        <w:jc w:val="both"/>
        <w:rPr>
          <w:rFonts w:ascii="Times New Roman" w:eastAsia="Times New Roman" w:hAnsi="Times New Roman"/>
          <w:bCs/>
          <w:sz w:val="24"/>
          <w:szCs w:val="24"/>
          <w:lang w:eastAsia="pt-BR"/>
        </w:rPr>
      </w:pPr>
    </w:p>
    <w:p w:rsidR="00A318E7" w:rsidRPr="00450B31" w:rsidRDefault="00A318E7" w:rsidP="00A318E7">
      <w:pPr>
        <w:autoSpaceDE w:val="0"/>
        <w:autoSpaceDN w:val="0"/>
        <w:adjustRightInd w:val="0"/>
        <w:spacing w:after="0" w:line="240" w:lineRule="auto"/>
        <w:ind w:left="720"/>
        <w:jc w:val="both"/>
        <w:rPr>
          <w:rFonts w:ascii="Times New Roman" w:eastAsia="Times New Roman" w:hAnsi="Times New Roman"/>
          <w:b/>
          <w:bCs/>
          <w:sz w:val="24"/>
          <w:szCs w:val="24"/>
          <w:lang w:eastAsia="pt-BR"/>
        </w:rPr>
      </w:pPr>
      <w:r w:rsidRPr="00450B31">
        <w:rPr>
          <w:rFonts w:ascii="Times New Roman" w:eastAsia="Times New Roman" w:hAnsi="Times New Roman"/>
          <w:b/>
          <w:sz w:val="24"/>
          <w:szCs w:val="24"/>
          <w:lang w:eastAsia="pt-BR"/>
        </w:rPr>
        <w:t xml:space="preserve">5.1. </w:t>
      </w:r>
      <w:r w:rsidRPr="00450B31">
        <w:rPr>
          <w:rFonts w:ascii="Times New Roman" w:eastAsia="Times New Roman" w:hAnsi="Times New Roman"/>
          <w:sz w:val="24"/>
          <w:szCs w:val="24"/>
          <w:lang w:eastAsia="pt-BR"/>
        </w:rPr>
        <w:t>A Certidão de regularidade Trabalhistas – CNDT é expedida gratuita e eletronicamente em todo o território nacional. O interessado pode requerê-la nas páginas eletrônicas do TST, do CSJT e dos Tribunais Regionais do Trabalho, mediante indicação do CNPJ</w:t>
      </w:r>
      <w:r w:rsidRPr="00450B31">
        <w:rPr>
          <w:rFonts w:ascii="Times New Roman" w:eastAsia="Times New Roman" w:hAnsi="Times New Roman"/>
          <w:bCs/>
          <w:sz w:val="24"/>
          <w:szCs w:val="24"/>
          <w:lang w:eastAsia="pt-BR"/>
        </w:rPr>
        <w:t xml:space="preserve">. </w:t>
      </w:r>
    </w:p>
    <w:p w:rsidR="00A318E7" w:rsidRPr="00450B31" w:rsidRDefault="00A318E7" w:rsidP="00A318E7">
      <w:pPr>
        <w:spacing w:after="0" w:line="240" w:lineRule="auto"/>
        <w:jc w:val="both"/>
        <w:rPr>
          <w:rFonts w:ascii="Times New Roman" w:eastAsia="Times New Roman" w:hAnsi="Times New Roman"/>
          <w:sz w:val="24"/>
          <w:szCs w:val="24"/>
          <w:lang w:eastAsia="pt-BR"/>
        </w:rPr>
      </w:pPr>
    </w:p>
    <w:p w:rsidR="00A318E7" w:rsidRPr="00450B31" w:rsidRDefault="00A318E7" w:rsidP="00A318E7">
      <w:pPr>
        <w:spacing w:after="0" w:line="240" w:lineRule="auto"/>
        <w:jc w:val="both"/>
        <w:rPr>
          <w:rFonts w:ascii="Times New Roman" w:eastAsia="Times New Roman" w:hAnsi="Times New Roman"/>
          <w:color w:val="333333"/>
          <w:sz w:val="24"/>
          <w:szCs w:val="24"/>
          <w:bdr w:val="none" w:sz="0" w:space="0" w:color="auto" w:frame="1"/>
          <w:lang w:eastAsia="pt-BR"/>
        </w:rPr>
      </w:pPr>
      <w:r w:rsidRPr="00450B31">
        <w:rPr>
          <w:rFonts w:ascii="Times New Roman" w:eastAsia="Times New Roman" w:hAnsi="Times New Roman"/>
          <w:b/>
          <w:i/>
          <w:sz w:val="24"/>
          <w:szCs w:val="24"/>
          <w:lang w:eastAsia="pt-BR"/>
        </w:rPr>
        <w:t>Nota 1:</w:t>
      </w:r>
      <w:r w:rsidRPr="00450B31">
        <w:rPr>
          <w:rFonts w:ascii="Times New Roman" w:eastAsia="Times New Roman" w:hAnsi="Times New Roman"/>
          <w:i/>
          <w:sz w:val="24"/>
          <w:szCs w:val="24"/>
          <w:lang w:eastAsia="pt-BR"/>
        </w:rPr>
        <w:t xml:space="preserve"> </w:t>
      </w:r>
      <w:r w:rsidRPr="00450B31">
        <w:rPr>
          <w:rFonts w:ascii="Times New Roman" w:eastAsia="Times New Roman" w:hAnsi="Times New Roman"/>
          <w:color w:val="333333"/>
          <w:sz w:val="24"/>
          <w:szCs w:val="24"/>
          <w:bdr w:val="none" w:sz="0" w:space="0" w:color="auto" w:frame="1"/>
          <w:lang w:eastAsia="pt-BR"/>
        </w:rPr>
        <w:t>Os documentos referidos acima poderão ser apresentados em original, por qualquer processo de cópia autenticada por cartório competente ou por servidor da administração ou publicação em órgão da imprensa oficial, conforme art. 32 da Lei 8666/93, inclusive autenticação digital</w:t>
      </w:r>
    </w:p>
    <w:p w:rsidR="00A318E7" w:rsidRPr="00450B31" w:rsidRDefault="00A318E7" w:rsidP="00A318E7">
      <w:pPr>
        <w:autoSpaceDE w:val="0"/>
        <w:autoSpaceDN w:val="0"/>
        <w:adjustRightInd w:val="0"/>
        <w:spacing w:after="0" w:line="240" w:lineRule="auto"/>
        <w:jc w:val="both"/>
        <w:rPr>
          <w:rFonts w:ascii="Times New Roman" w:eastAsia="Times New Roman" w:hAnsi="Times New Roman"/>
          <w:color w:val="333333"/>
          <w:sz w:val="24"/>
          <w:szCs w:val="24"/>
          <w:bdr w:val="none" w:sz="0" w:space="0" w:color="auto" w:frame="1"/>
          <w:lang w:eastAsia="pt-BR"/>
        </w:rPr>
      </w:pPr>
    </w:p>
    <w:p w:rsidR="00A318E7" w:rsidRPr="00450B31" w:rsidRDefault="00A318E7" w:rsidP="00A318E7">
      <w:pPr>
        <w:autoSpaceDE w:val="0"/>
        <w:autoSpaceDN w:val="0"/>
        <w:adjustRightInd w:val="0"/>
        <w:spacing w:after="0" w:line="240" w:lineRule="auto"/>
        <w:jc w:val="both"/>
        <w:rPr>
          <w:rFonts w:ascii="Times New Roman" w:eastAsia="Times New Roman" w:hAnsi="Times New Roman"/>
          <w:color w:val="333333"/>
          <w:sz w:val="24"/>
          <w:szCs w:val="24"/>
          <w:bdr w:val="none" w:sz="0" w:space="0" w:color="auto" w:frame="1"/>
          <w:lang w:eastAsia="pt-BR"/>
        </w:rPr>
      </w:pPr>
      <w:r w:rsidRPr="00450B31">
        <w:rPr>
          <w:rFonts w:ascii="Times New Roman" w:eastAsia="Times New Roman" w:hAnsi="Times New Roman"/>
          <w:b/>
          <w:color w:val="333333"/>
          <w:sz w:val="24"/>
          <w:szCs w:val="24"/>
          <w:bdr w:val="none" w:sz="0" w:space="0" w:color="auto" w:frame="1"/>
          <w:lang w:eastAsia="pt-BR"/>
        </w:rPr>
        <w:t>Nota 2:</w:t>
      </w:r>
      <w:r w:rsidRPr="00450B31">
        <w:rPr>
          <w:rFonts w:ascii="Times New Roman" w:eastAsia="Times New Roman" w:hAnsi="Times New Roman"/>
          <w:color w:val="333333"/>
          <w:sz w:val="24"/>
          <w:szCs w:val="24"/>
          <w:bdr w:val="none" w:sz="0" w:space="0" w:color="auto" w:frame="1"/>
          <w:lang w:eastAsia="pt-BR"/>
        </w:rPr>
        <w:t xml:space="preserve"> A autenticação da cópia será apenas com o cotejo do documento original, devendo apresentar o original juntamente com cópia simples do referido documento. Não será autenticado cópia de outra cópia, ainda que autenticada</w:t>
      </w:r>
    </w:p>
    <w:p w:rsidR="00A318E7" w:rsidRPr="00450B31" w:rsidRDefault="00A318E7" w:rsidP="00A318E7">
      <w:pPr>
        <w:spacing w:after="0" w:line="240" w:lineRule="auto"/>
        <w:jc w:val="both"/>
        <w:rPr>
          <w:rFonts w:ascii="Times New Roman" w:eastAsia="Times New Roman" w:hAnsi="Times New Roman"/>
          <w:sz w:val="24"/>
          <w:szCs w:val="24"/>
          <w:lang w:eastAsia="pt-BR"/>
        </w:rPr>
      </w:pPr>
    </w:p>
    <w:p w:rsidR="00A318E7" w:rsidRPr="00450B31" w:rsidRDefault="00A318E7" w:rsidP="00A318E7">
      <w:pPr>
        <w:spacing w:after="0" w:line="240" w:lineRule="auto"/>
        <w:jc w:val="both"/>
        <w:rPr>
          <w:rFonts w:ascii="Times New Roman" w:eastAsia="Times New Roman" w:hAnsi="Times New Roman"/>
          <w:i/>
          <w:sz w:val="24"/>
          <w:szCs w:val="24"/>
          <w:lang w:eastAsia="pt-BR"/>
        </w:rPr>
      </w:pPr>
      <w:r w:rsidRPr="00450B31">
        <w:rPr>
          <w:rFonts w:ascii="Times New Roman" w:eastAsia="Times New Roman" w:hAnsi="Times New Roman"/>
          <w:b/>
          <w:i/>
          <w:sz w:val="24"/>
          <w:szCs w:val="24"/>
          <w:lang w:eastAsia="pt-BR"/>
        </w:rPr>
        <w:t xml:space="preserve">Nota 3: </w:t>
      </w:r>
      <w:r w:rsidRPr="00450B31">
        <w:rPr>
          <w:rFonts w:ascii="Times New Roman" w:eastAsia="Times New Roman" w:hAnsi="Times New Roman"/>
          <w:i/>
          <w:sz w:val="24"/>
          <w:szCs w:val="24"/>
          <w:lang w:eastAsia="pt-BR"/>
        </w:rPr>
        <w:t>Na hipótese de não constar prazo de validade nas certidões apresentadas, esta Prefeitura aceitará como válidas as expedidas até 180</w:t>
      </w:r>
      <w:r w:rsidRPr="00450B31">
        <w:rPr>
          <w:rFonts w:ascii="Times New Roman" w:eastAsia="Times New Roman" w:hAnsi="Times New Roman"/>
          <w:b/>
          <w:bCs/>
          <w:i/>
          <w:sz w:val="24"/>
          <w:szCs w:val="24"/>
          <w:lang w:eastAsia="pt-BR"/>
        </w:rPr>
        <w:t xml:space="preserve"> </w:t>
      </w:r>
      <w:r w:rsidRPr="00450B31">
        <w:rPr>
          <w:rFonts w:ascii="Times New Roman" w:eastAsia="Times New Roman" w:hAnsi="Times New Roman"/>
          <w:i/>
          <w:sz w:val="24"/>
          <w:szCs w:val="24"/>
          <w:lang w:eastAsia="pt-BR"/>
        </w:rPr>
        <w:t xml:space="preserve">(cento e oitenta) </w:t>
      </w:r>
      <w:r w:rsidRPr="00450B31">
        <w:rPr>
          <w:rFonts w:ascii="Times New Roman" w:eastAsia="Times New Roman" w:hAnsi="Times New Roman"/>
          <w:b/>
          <w:bCs/>
          <w:i/>
          <w:sz w:val="24"/>
          <w:szCs w:val="24"/>
          <w:lang w:eastAsia="pt-BR"/>
        </w:rPr>
        <w:t xml:space="preserve">dias </w:t>
      </w:r>
      <w:r w:rsidRPr="00450B31">
        <w:rPr>
          <w:rFonts w:ascii="Times New Roman" w:eastAsia="Times New Roman" w:hAnsi="Times New Roman"/>
          <w:i/>
          <w:sz w:val="24"/>
          <w:szCs w:val="24"/>
          <w:lang w:eastAsia="pt-BR"/>
        </w:rPr>
        <w:t>imediatamente anteriores à data de apresentação das propostas.</w:t>
      </w:r>
    </w:p>
    <w:p w:rsidR="00A318E7" w:rsidRPr="00450B31" w:rsidRDefault="00A318E7" w:rsidP="00A318E7">
      <w:pPr>
        <w:spacing w:after="0" w:line="240" w:lineRule="auto"/>
        <w:jc w:val="both"/>
        <w:rPr>
          <w:rFonts w:ascii="Times New Roman" w:eastAsia="Times New Roman" w:hAnsi="Times New Roman"/>
          <w:sz w:val="24"/>
          <w:szCs w:val="24"/>
          <w:lang w:eastAsia="pt-BR"/>
        </w:rPr>
      </w:pPr>
    </w:p>
    <w:p w:rsidR="00A318E7" w:rsidRPr="00450B31" w:rsidRDefault="00A318E7" w:rsidP="00A318E7">
      <w:pPr>
        <w:spacing w:after="0" w:line="240" w:lineRule="auto"/>
        <w:jc w:val="both"/>
        <w:rPr>
          <w:rFonts w:ascii="Times New Roman" w:eastAsia="Times New Roman" w:hAnsi="Times New Roman"/>
          <w:sz w:val="24"/>
          <w:szCs w:val="24"/>
          <w:lang w:eastAsia="pt-BR"/>
        </w:rPr>
      </w:pPr>
    </w:p>
    <w:p w:rsidR="00A318E7" w:rsidRPr="00450B31" w:rsidRDefault="00A318E7" w:rsidP="00A318E7">
      <w:pPr>
        <w:spacing w:after="0" w:line="240" w:lineRule="auto"/>
        <w:jc w:val="center"/>
        <w:rPr>
          <w:rFonts w:ascii="Times New Roman" w:eastAsia="Times New Roman" w:hAnsi="Times New Roman"/>
          <w:b/>
          <w:smallCaps/>
          <w:sz w:val="24"/>
          <w:szCs w:val="24"/>
          <w:u w:val="single"/>
          <w:lang w:eastAsia="pt-BR"/>
        </w:rPr>
      </w:pPr>
      <w:r w:rsidRPr="00450B31">
        <w:rPr>
          <w:rFonts w:ascii="Times New Roman" w:eastAsia="Times New Roman" w:hAnsi="Times New Roman"/>
          <w:b/>
          <w:smallCaps/>
          <w:sz w:val="24"/>
          <w:szCs w:val="24"/>
          <w:u w:val="single"/>
          <w:lang w:eastAsia="pt-BR"/>
        </w:rPr>
        <w:t>Secretaria de Administração:</w:t>
      </w:r>
    </w:p>
    <w:p w:rsidR="00A318E7" w:rsidRPr="00450B31" w:rsidRDefault="00A318E7" w:rsidP="00A318E7">
      <w:pPr>
        <w:spacing w:after="0" w:line="240" w:lineRule="auto"/>
        <w:jc w:val="both"/>
        <w:rPr>
          <w:rFonts w:ascii="Times New Roman" w:eastAsia="Times New Roman" w:hAnsi="Times New Roman"/>
          <w:sz w:val="24"/>
          <w:szCs w:val="24"/>
          <w:lang w:eastAsia="pt-BR"/>
        </w:rPr>
      </w:pPr>
    </w:p>
    <w:p w:rsidR="00A318E7" w:rsidRPr="00450B31" w:rsidRDefault="00A318E7" w:rsidP="00A318E7">
      <w:pPr>
        <w:jc w:val="both"/>
        <w:rPr>
          <w:rFonts w:ascii="Times New Roman" w:hAnsi="Times New Roman"/>
          <w:sz w:val="24"/>
          <w:szCs w:val="24"/>
        </w:rPr>
      </w:pPr>
      <w:r w:rsidRPr="00450B31">
        <w:rPr>
          <w:rFonts w:ascii="Times New Roman" w:hAnsi="Times New Roman"/>
          <w:sz w:val="24"/>
          <w:szCs w:val="24"/>
        </w:rPr>
        <w:t>Os documentos entregues nesta Prefeitura deverão ser protocolados no Setor de Licitações, nos dias úteis, das 13hs às 17hs, ou enviados pelos correios.</w:t>
      </w:r>
    </w:p>
    <w:p w:rsidR="00A318E7" w:rsidRPr="00450B31" w:rsidRDefault="00A318E7" w:rsidP="00A318E7">
      <w:pPr>
        <w:jc w:val="both"/>
        <w:rPr>
          <w:rFonts w:ascii="Times New Roman" w:hAnsi="Times New Roman"/>
          <w:sz w:val="24"/>
          <w:szCs w:val="24"/>
        </w:rPr>
      </w:pPr>
    </w:p>
    <w:p w:rsidR="00A318E7" w:rsidRPr="00450B31" w:rsidRDefault="00A318E7" w:rsidP="00A318E7">
      <w:pPr>
        <w:jc w:val="both"/>
        <w:rPr>
          <w:rFonts w:ascii="Times New Roman" w:hAnsi="Times New Roman"/>
          <w:sz w:val="24"/>
          <w:szCs w:val="24"/>
        </w:rPr>
      </w:pPr>
      <w:r w:rsidRPr="00450B31">
        <w:rPr>
          <w:rFonts w:ascii="Times New Roman" w:hAnsi="Times New Roman"/>
          <w:sz w:val="24"/>
          <w:szCs w:val="24"/>
        </w:rPr>
        <w:t>Após os documentos serem analisados, o Setor de Licitações entrará em contato (pede-se informar nome, telefone e e-mail para contato).</w:t>
      </w:r>
    </w:p>
    <w:p w:rsidR="00A318E7" w:rsidRPr="00450B31" w:rsidRDefault="00A318E7" w:rsidP="00A318E7">
      <w:pPr>
        <w:jc w:val="both"/>
        <w:rPr>
          <w:rFonts w:ascii="Times New Roman" w:hAnsi="Times New Roman"/>
          <w:sz w:val="24"/>
          <w:szCs w:val="24"/>
        </w:rPr>
      </w:pPr>
    </w:p>
    <w:p w:rsidR="00A318E7" w:rsidRPr="00450B31" w:rsidRDefault="00A318E7" w:rsidP="00A318E7">
      <w:pPr>
        <w:jc w:val="both"/>
        <w:rPr>
          <w:rFonts w:ascii="Times New Roman" w:hAnsi="Times New Roman"/>
          <w:sz w:val="24"/>
          <w:szCs w:val="24"/>
        </w:rPr>
      </w:pPr>
      <w:r w:rsidRPr="00450B31">
        <w:rPr>
          <w:rFonts w:ascii="Times New Roman" w:hAnsi="Times New Roman"/>
          <w:sz w:val="24"/>
          <w:szCs w:val="24"/>
        </w:rPr>
        <w:t>Para maiores esclarecimentos entrar em contato com o Setor de Licitações, das 13hs às 17hs, pessoalmente ou através do telefone (11) 4602-8524/8533.</w:t>
      </w:r>
    </w:p>
    <w:p w:rsidR="00C800FB" w:rsidRPr="00450B31" w:rsidRDefault="00C800FB">
      <w:pPr>
        <w:rPr>
          <w:rFonts w:ascii="Times New Roman" w:hAnsi="Times New Roman"/>
          <w:sz w:val="24"/>
          <w:szCs w:val="24"/>
        </w:rPr>
      </w:pPr>
    </w:p>
    <w:sectPr w:rsidR="00C800FB" w:rsidRPr="00450B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091F"/>
    <w:multiLevelType w:val="multilevel"/>
    <w:tmpl w:val="034840A2"/>
    <w:lvl w:ilvl="0">
      <w:start w:val="1"/>
      <w:numFmt w:val="decimal"/>
      <w:lvlText w:val="%1."/>
      <w:lvlJc w:val="left"/>
      <w:pPr>
        <w:ind w:left="720" w:hanging="360"/>
      </w:pPr>
      <w:rPr>
        <w:rFonts w:hint="default"/>
        <w:b/>
      </w:rPr>
    </w:lvl>
    <w:lvl w:ilvl="1">
      <w:start w:val="2"/>
      <w:numFmt w:val="decimal"/>
      <w:isLgl/>
      <w:lvlText w:val="%1.%2."/>
      <w:lvlJc w:val="left"/>
      <w:pPr>
        <w:ind w:left="1428" w:hanging="720"/>
      </w:pPr>
      <w:rPr>
        <w:rFonts w:eastAsia="Times New Roman" w:cs="Arial" w:hint="default"/>
        <w:b/>
      </w:rPr>
    </w:lvl>
    <w:lvl w:ilvl="2">
      <w:start w:val="1"/>
      <w:numFmt w:val="decimal"/>
      <w:isLgl/>
      <w:lvlText w:val="%1.%2.%3."/>
      <w:lvlJc w:val="left"/>
      <w:pPr>
        <w:ind w:left="1776" w:hanging="720"/>
      </w:pPr>
      <w:rPr>
        <w:rFonts w:eastAsia="Times New Roman" w:cs="Arial" w:hint="default"/>
        <w:b/>
      </w:rPr>
    </w:lvl>
    <w:lvl w:ilvl="3">
      <w:start w:val="1"/>
      <w:numFmt w:val="decimal"/>
      <w:isLgl/>
      <w:lvlText w:val="%1.%2.%3.%4."/>
      <w:lvlJc w:val="left"/>
      <w:pPr>
        <w:ind w:left="2484" w:hanging="1080"/>
      </w:pPr>
      <w:rPr>
        <w:rFonts w:eastAsia="Times New Roman" w:cs="Arial" w:hint="default"/>
        <w:b/>
      </w:rPr>
    </w:lvl>
    <w:lvl w:ilvl="4">
      <w:start w:val="1"/>
      <w:numFmt w:val="decimal"/>
      <w:isLgl/>
      <w:lvlText w:val="%1.%2.%3.%4.%5."/>
      <w:lvlJc w:val="left"/>
      <w:pPr>
        <w:ind w:left="3192" w:hanging="1440"/>
      </w:pPr>
      <w:rPr>
        <w:rFonts w:eastAsia="Times New Roman" w:cs="Arial" w:hint="default"/>
        <w:b/>
      </w:rPr>
    </w:lvl>
    <w:lvl w:ilvl="5">
      <w:start w:val="1"/>
      <w:numFmt w:val="decimal"/>
      <w:isLgl/>
      <w:lvlText w:val="%1.%2.%3.%4.%5.%6."/>
      <w:lvlJc w:val="left"/>
      <w:pPr>
        <w:ind w:left="3540" w:hanging="1440"/>
      </w:pPr>
      <w:rPr>
        <w:rFonts w:eastAsia="Times New Roman" w:cs="Arial" w:hint="default"/>
        <w:b/>
      </w:rPr>
    </w:lvl>
    <w:lvl w:ilvl="6">
      <w:start w:val="1"/>
      <w:numFmt w:val="decimal"/>
      <w:isLgl/>
      <w:lvlText w:val="%1.%2.%3.%4.%5.%6.%7."/>
      <w:lvlJc w:val="left"/>
      <w:pPr>
        <w:ind w:left="4248" w:hanging="1800"/>
      </w:pPr>
      <w:rPr>
        <w:rFonts w:eastAsia="Times New Roman" w:cs="Arial" w:hint="default"/>
        <w:b/>
      </w:rPr>
    </w:lvl>
    <w:lvl w:ilvl="7">
      <w:start w:val="1"/>
      <w:numFmt w:val="decimal"/>
      <w:isLgl/>
      <w:lvlText w:val="%1.%2.%3.%4.%5.%6.%7.%8."/>
      <w:lvlJc w:val="left"/>
      <w:pPr>
        <w:ind w:left="4596" w:hanging="1800"/>
      </w:pPr>
      <w:rPr>
        <w:rFonts w:eastAsia="Times New Roman" w:cs="Arial" w:hint="default"/>
        <w:b/>
      </w:rPr>
    </w:lvl>
    <w:lvl w:ilvl="8">
      <w:start w:val="1"/>
      <w:numFmt w:val="decimal"/>
      <w:isLgl/>
      <w:lvlText w:val="%1.%2.%3.%4.%5.%6.%7.%8.%9."/>
      <w:lvlJc w:val="left"/>
      <w:pPr>
        <w:ind w:left="5304" w:hanging="2160"/>
      </w:pPr>
      <w:rPr>
        <w:rFonts w:eastAsia="Times New Roman" w:cs="Arial" w:hint="default"/>
        <w:b/>
      </w:rPr>
    </w:lvl>
  </w:abstractNum>
  <w:abstractNum w:abstractNumId="1" w15:restartNumberingAfterBreak="0">
    <w:nsid w:val="2A1103A3"/>
    <w:multiLevelType w:val="hybridMultilevel"/>
    <w:tmpl w:val="49C2199C"/>
    <w:lvl w:ilvl="0" w:tplc="609CCEB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F772542"/>
    <w:multiLevelType w:val="multilevel"/>
    <w:tmpl w:val="A4EC5F40"/>
    <w:lvl w:ilvl="0">
      <w:start w:val="1"/>
      <w:numFmt w:val="decimal"/>
      <w:lvlText w:val="%1."/>
      <w:lvlJc w:val="left"/>
      <w:pPr>
        <w:ind w:left="720" w:hanging="360"/>
      </w:pPr>
      <w:rPr>
        <w:rFonts w:ascii="Bookman Old Style" w:hAnsi="Bookman Old Style" w:cs="Calibri" w:hint="default"/>
        <w:b/>
      </w:rPr>
    </w:lvl>
    <w:lvl w:ilvl="1">
      <w:start w:val="1"/>
      <w:numFmt w:val="decimal"/>
      <w:isLgl/>
      <w:lvlText w:val="%1.%2."/>
      <w:lvlJc w:val="left"/>
      <w:pPr>
        <w:ind w:left="1080" w:hanging="720"/>
      </w:pPr>
      <w:rPr>
        <w:rFonts w:ascii="Bookman Old Style" w:hAnsi="Bookman Old Style" w:cs="Calibri" w:hint="default"/>
        <w:b/>
      </w:rPr>
    </w:lvl>
    <w:lvl w:ilvl="2">
      <w:start w:val="1"/>
      <w:numFmt w:val="decimal"/>
      <w:isLgl/>
      <w:lvlText w:val="%1.%2.%3."/>
      <w:lvlJc w:val="left"/>
      <w:pPr>
        <w:ind w:left="1080" w:hanging="720"/>
      </w:pPr>
      <w:rPr>
        <w:rFonts w:ascii="Bookman Old Style" w:hAnsi="Bookman Old Style" w:hint="default"/>
        <w:b/>
      </w:rPr>
    </w:lvl>
    <w:lvl w:ilvl="3">
      <w:start w:val="1"/>
      <w:numFmt w:val="decimal"/>
      <w:isLgl/>
      <w:lvlText w:val="%1.%2.%3.%4."/>
      <w:lvlJc w:val="left"/>
      <w:pPr>
        <w:ind w:left="1440" w:hanging="1080"/>
      </w:pPr>
      <w:rPr>
        <w:rFonts w:ascii="Bookman Old Style" w:hAnsi="Bookman Old Style" w:hint="default"/>
        <w:b/>
      </w:rPr>
    </w:lvl>
    <w:lvl w:ilvl="4">
      <w:start w:val="1"/>
      <w:numFmt w:val="decimal"/>
      <w:isLgl/>
      <w:lvlText w:val="%1.%2.%3.%4.%5."/>
      <w:lvlJc w:val="left"/>
      <w:pPr>
        <w:ind w:left="1800" w:hanging="1440"/>
      </w:pPr>
      <w:rPr>
        <w:rFonts w:ascii="Bookman Old Style" w:hAnsi="Bookman Old Style" w:hint="default"/>
        <w:b/>
      </w:rPr>
    </w:lvl>
    <w:lvl w:ilvl="5">
      <w:start w:val="1"/>
      <w:numFmt w:val="decimal"/>
      <w:isLgl/>
      <w:lvlText w:val="%1.%2.%3.%4.%5.%6."/>
      <w:lvlJc w:val="left"/>
      <w:pPr>
        <w:ind w:left="1800" w:hanging="1440"/>
      </w:pPr>
      <w:rPr>
        <w:rFonts w:ascii="Bookman Old Style" w:hAnsi="Bookman Old Style" w:hint="default"/>
        <w:b/>
      </w:rPr>
    </w:lvl>
    <w:lvl w:ilvl="6">
      <w:start w:val="1"/>
      <w:numFmt w:val="decimal"/>
      <w:isLgl/>
      <w:lvlText w:val="%1.%2.%3.%4.%5.%6.%7."/>
      <w:lvlJc w:val="left"/>
      <w:pPr>
        <w:ind w:left="2160" w:hanging="1800"/>
      </w:pPr>
      <w:rPr>
        <w:rFonts w:ascii="Bookman Old Style" w:hAnsi="Bookman Old Style" w:hint="default"/>
        <w:b/>
      </w:rPr>
    </w:lvl>
    <w:lvl w:ilvl="7">
      <w:start w:val="1"/>
      <w:numFmt w:val="decimal"/>
      <w:isLgl/>
      <w:lvlText w:val="%1.%2.%3.%4.%5.%6.%7.%8."/>
      <w:lvlJc w:val="left"/>
      <w:pPr>
        <w:ind w:left="2160" w:hanging="1800"/>
      </w:pPr>
      <w:rPr>
        <w:rFonts w:ascii="Bookman Old Style" w:hAnsi="Bookman Old Style" w:hint="default"/>
        <w:b/>
      </w:rPr>
    </w:lvl>
    <w:lvl w:ilvl="8">
      <w:start w:val="1"/>
      <w:numFmt w:val="decimal"/>
      <w:isLgl/>
      <w:lvlText w:val="%1.%2.%3.%4.%5.%6.%7.%8.%9."/>
      <w:lvlJc w:val="left"/>
      <w:pPr>
        <w:ind w:left="2520" w:hanging="2160"/>
      </w:pPr>
      <w:rPr>
        <w:rFonts w:ascii="Bookman Old Style" w:hAnsi="Bookman Old Style" w:hint="default"/>
        <w:b/>
      </w:rPr>
    </w:lvl>
  </w:abstractNum>
  <w:abstractNum w:abstractNumId="3" w15:restartNumberingAfterBreak="0">
    <w:nsid w:val="5A541E1F"/>
    <w:multiLevelType w:val="hybridMultilevel"/>
    <w:tmpl w:val="ABD24110"/>
    <w:lvl w:ilvl="0" w:tplc="11A8B82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8E7"/>
    <w:rsid w:val="00450B31"/>
    <w:rsid w:val="00A318E7"/>
    <w:rsid w:val="00C800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3B9A8"/>
  <w15:chartTrackingRefBased/>
  <w15:docId w15:val="{0B34BB01-72D0-4B7B-9256-3AC479E3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8E7"/>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906</Words>
  <Characters>4895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Ligia Maria Rodrigues Dos Santos</dc:creator>
  <cp:keywords/>
  <dc:description/>
  <cp:lastModifiedBy>Denise Moura Campos</cp:lastModifiedBy>
  <cp:revision>2</cp:revision>
  <dcterms:created xsi:type="dcterms:W3CDTF">2018-08-16T19:00:00Z</dcterms:created>
  <dcterms:modified xsi:type="dcterms:W3CDTF">2020-03-03T18:59:00Z</dcterms:modified>
</cp:coreProperties>
</file>